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1400" w:type="dxa"/>
        <w:jc w:val="left"/>
        <w:tblInd w:w="-14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0"/>
        <w:gridCol w:w="900"/>
        <w:gridCol w:w="405"/>
        <w:gridCol w:w="105"/>
        <w:gridCol w:w="3495"/>
        <w:gridCol w:w="1710"/>
        <w:gridCol w:w="645"/>
      </w:tblGrid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ДОГОВОР № 00000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 оказание платных образовательных услуг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Воронеж</w:t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    »               20 __ г.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«ВГТУ»), в лице директора центра дополнительного профессионального образования Шепса Романа Александровича, действующего на основании Доверенности от 06.09.2021г. №06-юр-08/2031., (далее - Исполнитель), с одной стороны, и</w:t>
            </w:r>
          </w:p>
        </w:tc>
      </w:tr>
      <w:tr>
        <w:trPr/>
        <w:tc>
          <w:tcPr>
            <w:tcW w:w="11400" w:type="dxa"/>
            <w:gridSpan w:val="7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Общество с ограниченной ответственностью "                     "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лица, заключающего договор от своего имени,</w:t>
            </w:r>
          </w:p>
        </w:tc>
      </w:tr>
      <w:tr>
        <w:trPr/>
        <w:tc>
          <w:tcPr>
            <w:tcW w:w="11400" w:type="dxa"/>
            <w:gridSpan w:val="7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лице Генерального Директора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Иванова Ивана Ивановича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действующего на основании Устава 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деятельность)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(далее - Заказчик), с другой стороны, в соответствии с п.4. ч.1 ст. 93 Федерального Закона от 05.04.13г. № 44 -ФЗ «О контрактной системе в сфере закупок товаров, работ, услуг для обеспечения государственных и муниципальных нужд», вместе именуемые «Стороны», заключили настоящий договор о нижеследующем: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Предмет Договора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 По настоящему Договору Исполнитель берет на себя обязательство оказать услуги по </w:t>
            </w:r>
            <w:r>
              <w:rPr>
                <w:rFonts w:ascii="Times New Roman" w:hAnsi="Times New Roman"/>
                <w:sz w:val="22"/>
                <w:szCs w:val="22"/>
              </w:rPr>
              <w:t>повышению квалификации</w:t>
            </w:r>
          </w:p>
        </w:tc>
      </w:tr>
      <w:tr>
        <w:trPr/>
        <w:tc>
          <w:tcPr>
            <w:tcW w:w="11400" w:type="dxa"/>
            <w:gridSpan w:val="7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(профессиональной подготовке или повышению квалификации)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лиц, направляемых Заказчиком на обучение (далее по тексту - услуга), указанных в Списке (Приложение № 1), который является неотъемлемой частью настоящего Договора, по программе дополнительной образовательной программе: "Ценообразование и сметное дело в строительстве" в объеме 144 часов 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Услуги оказываются по месту нахождения Исполнителя.</w:t>
              <w:br/>
              <w:t>1.3. После прохождения лицами, указанными в Списке, полного курса обучения и успешной итоговой аттестации им выдается</w:t>
            </w:r>
          </w:p>
        </w:tc>
      </w:tr>
      <w:tr>
        <w:trPr/>
        <w:tc>
          <w:tcPr>
            <w:tcW w:w="11400" w:type="dxa"/>
            <w:gridSpan w:val="7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Удостоверение о повышении квалификации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(указать документ)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либо документ об освоении тех или иных компонентов образовательной программы в случае отчисления работников Заказчика из образовательного учреждения до завершения ими обучения в полном объеме.</w:t>
            </w:r>
          </w:p>
        </w:tc>
      </w:tr>
      <w:tr>
        <w:trPr>
          <w:trHeight w:val="305" w:hRule="exact"/>
        </w:trPr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Обязанности и права Сторон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2.1.  Обязанности Исполнителя:</w:t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2.1.1. Оказывать услуги по</w:t>
            </w:r>
          </w:p>
        </w:tc>
        <w:tc>
          <w:tcPr>
            <w:tcW w:w="7260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повышению квалификации</w:t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60" w:type="dxa"/>
            <w:gridSpan w:val="6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(профессиональной переподготовке или повышению квалификации)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лиц, направляемых Заказчиком на обучение.</w:t>
              <w:br/>
              <w:t>2.1.2. Исполнитель обязуется оказать услуги по настоящему договору лично или с привлечением третьих лиц.</w:t>
              <w:br/>
              <w:t>2.1.3.  Сообщать Заказчику дату и сроки проведения обучения.</w:t>
              <w:br/>
              <w:t>2.1.4. Предоставить Заказчику акт приема-передачи выполненных работ по окончанию оказания услуг.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2.2.  Права Исполнителя: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 Требовать от Заказчика оплаты услуг, оказываемых Исполнителем, в порядке, установленном настоящим Договором.</w:t>
              <w:br/>
              <w:t>2.2.2. Исполнитель не несет ответственность за неявку лиц, указанных в Списке (Приложение № 1), на обучение. При не прохождении без уважительной причины обучения Исполнитель не возвращает Заказчику стоимость услуг за обучение.</w:t>
              <w:br/>
              <w:t>2.2.3. Сохранить место за лицами, указанными в Списке (Приложение № 1), в случае, если обучение не было завершено по уважительным причинам.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2.3. Обязанности Заказчика: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  Вносить плату за услуги в соответствии с настоящим Договором.</w:t>
              <w:br/>
              <w:t>2.3.2. Направлять лиц, указанных в Списке, который является неотъемлемой частью настоящего Договора по</w:t>
              <w:br/>
            </w:r>
          </w:p>
        </w:tc>
      </w:tr>
      <w:tr>
        <w:trPr/>
        <w:tc>
          <w:tcPr>
            <w:tcW w:w="11400" w:type="dxa"/>
            <w:gridSpan w:val="7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повышению квалификации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(профессиональной переподготовке или повышению квалификации)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Подписать акт приема-передачи выполненных работ, предоставленный Исполнителем, по окончанию оказания услуг.</w:t>
              <w:br/>
              <w:t>2.3.4. Возмещать ущерб, причиненный помещениям, техническим средствам обучения и учебно-методической литературе, предоставляемым Исполнителем или третьими лицами, оказывающими услуги, в порядке, установленном законодательством РФ.</w:t>
              <w:br/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2.4. Права Заказчика: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 Обращаться к Исполнителю по вопросам, связанным с оказанием услуг.</w:t>
              <w:br/>
              <w:t>2.4.2. Обращаться к Исполнителю по вопросам, связанным с оказанием иных услуг, на основании отдельного договора или дополнительного соглашения к настоящему Договору.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Стоимость услуг и порядок оплаты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3.1. Заказчик оплачивает услуги, предусмотренные настоящим Договором в форме 100 %     предоплаты за период обучения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с  «     »               20 __ г. по «     »               20 __ г. , на общую сумму 000 руб. (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Ноль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рублей 00 копеек) без НДС на основании п. 14 ч. 2 ст. 149 НК РФ.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 Стоимость услуг Исполнителя, оказываемых по настоящему Договору, за период обучения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с «     »           20 __ г. по «     »               20 __ г., составляет   000 руб. (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Ноль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рублей 00 копеек) без НДС,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 обучение одного лица, указанного в Списке (Приложение № 1).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  Оплата услуг производится в течение 5 банковских дней с момента подписания настоящего договора на счет Исполнителя в банке.</w:t>
              <w:br/>
              <w:t>3.4. Заказчик считается исполнившим свою обязанность по оплате услуг с момента поступления денежных средств на расчетный счет Исполнителя.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3.5. Оплата услуг, предусмотренных настоящим Договором, может быть изменена по соглашению сторон, о чем составляется дополнительное соглашение.</w:t>
              <w:br/>
              <w:t>3.6. В случае изменения в Российской Федерации нарицательной стоимости российских денежных знаков и масштаба цен, стоимость услуг по настоящему Договору пересчитывается и расчеты осуществляются исходя из нового масштаба цен в соответствии с действующим законодательством Российской Федерации.</w:t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9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 Срок действия, порядок изменения и расторжения</w:t>
              <w:br/>
              <w:t>настоящего Договора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 Настоящий договор вступает в силу с момента подписания его Сторонами и действует по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«     »     20 __ г.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4.2.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 Настоящий Договор может быть расторгнут по взаимному согласию Сторон.</w:t>
              <w:br/>
              <w:t>4.4. Исполнитель вправе в одностороннем порядке расторгнуть настоящий Договор в случае нарушения Заказчиком сроков и порядка оплаты услуг Исполнителя, установленных настоящим Договором. В случае расторжения настоящего Договора по этому основанию Исполнитель обязан предупредить Заказчика за 3 (три) рабочих дня.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 Ответственность сторон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        <w:br/>
              <w:t>5.2.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 Разрешение споров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        <w:br/>
              <w:t>6.2. Не урегулированные в процессе переговоров споры передаются на рассмотрение в Арбитражный суд Воронежской области.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7. Обстоятельства непреодолимой силы</w:t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силы, а именно: наводнения, других стихийных бедствий, военных действий, постановлений и решений органов государственной власти или других событий.</w:t>
              <w:br/>
              <w:t>7.2. Надлежащим подтверждением наличия обстоятельств непреодолимой силы и их продолжительности для Сторон является справка, выдаваемая уполномоченными органами.</w:t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5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40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 Адреса и подписи сторон</w:t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5850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Общество с ограниченной</w:t>
            </w:r>
          </w:p>
        </w:tc>
        <w:tc>
          <w:tcPr>
            <w:tcW w:w="5850" w:type="dxa"/>
            <w:gridSpan w:val="3"/>
            <w:vMerge w:val="restart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ФГБОУ ВО "ВГТУ"</w:t>
              <w:br/>
              <w:t>394006, г. Воронеж, ул. 20-летия Октября, 84</w:t>
              <w:br/>
              <w:t>ИНН/КПП 3662020886/366401001 УФК по Воронежской области</w:t>
              <w:br/>
              <w:t>(ФГБОУ ВО "ВГТУ" л/сч 20316Х73120)</w:t>
              <w:br/>
              <w:t>Банк получателя:</w:t>
              <w:br/>
              <w:t>ОТДЕЛЕНИЕ ВОРОНЕЖ БАНКА РОССИИ//УФК по Воронежской области г. Воронеж</w:t>
              <w:br/>
              <w:t>БИК 012007084</w:t>
              <w:br/>
              <w:t>Р/с 03214643000000013100</w:t>
              <w:br/>
              <w:t>К/с 40102810945370000023</w:t>
              <w:br/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Ответственностью        "                           "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5" w:type="dxa"/>
            <w:tcBorders/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5" w:type="dxa"/>
            <w:tcBorders/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Воронежская обл.,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Воронеж,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    ,помещ.2, оф.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жительства/юридический адрес)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5" w:type="dxa"/>
            <w:tcBorders/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5" w:type="dxa"/>
            <w:tcBorders/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ИНН/КПП 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(паспортные данные/ банковские реквизиты)</w:t>
            </w:r>
          </w:p>
        </w:tc>
        <w:tc>
          <w:tcPr>
            <w:tcW w:w="5850" w:type="dxa"/>
            <w:gridSpan w:val="3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0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0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9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5850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центра дополнительного профессионального образования</w:t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_____________/</w:t>
            </w: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.И.</w:t>
            </w:r>
          </w:p>
        </w:tc>
        <w:tc>
          <w:tcPr>
            <w:tcW w:w="5850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__________/Шепс Р.А.</w:t>
            </w:r>
          </w:p>
        </w:tc>
      </w:tr>
      <w:tr>
        <w:trPr/>
        <w:tc>
          <w:tcPr>
            <w:tcW w:w="5550" w:type="dxa"/>
            <w:gridSpan w:val="4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  <w:br/>
              <w:t>М.П.</w:t>
              <w:br/>
            </w:r>
          </w:p>
        </w:tc>
        <w:tc>
          <w:tcPr>
            <w:tcW w:w="5850" w:type="dxa"/>
            <w:gridSpan w:val="3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(подпись)</w:t>
              <w:br/>
              <w:t>М.П.</w:t>
            </w:r>
          </w:p>
        </w:tc>
      </w:tr>
      <w:tr>
        <w:trPr/>
        <w:tc>
          <w:tcPr>
            <w:tcW w:w="414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Контактный тел.:</w:t>
            </w:r>
          </w:p>
        </w:tc>
        <w:tc>
          <w:tcPr>
            <w:tcW w:w="1410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9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3</Pages>
  <Words>1013</Words>
  <Characters>6906</Characters>
  <CharactersWithSpaces>8028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2021-11-22T11:15:39Z</dcterms:modified>
  <cp:revision>1</cp:revision>
  <dc:subject/>
  <dc:title/>
</cp:coreProperties>
</file>