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5E0" w:rsidRDefault="00F755E0" w:rsidP="00F755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219188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5E0" w:rsidRDefault="00F755E0" w:rsidP="00F755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55E0" w:rsidRPr="00F755E0" w:rsidRDefault="00F755E0" w:rsidP="00F75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Открытый творческий конкурс на разработку архитектурно-градостроительной концепции эко-регенерации дельты реки Сутолока г. Уфа, Республики Башкортостан.</w:t>
      </w:r>
      <w:r w:rsidRPr="00F75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75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Программа и условия конкурса: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Общие положения.</w:t>
      </w:r>
      <w:bookmarkStart w:id="0" w:name="_GoBack"/>
      <w:bookmarkEnd w:id="0"/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1.1. Конкурс проводится на лучшее творческое предложение по архитектурно-градостроительной концепции </w:t>
      </w:r>
      <w:proofErr w:type="spell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ревитализации</w:t>
      </w:r>
      <w:proofErr w:type="spell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дельты реки Сутолока г. Уфа, Республики Башкортостан.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Организатор:</w:t>
      </w: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Союз московских архитекторов и Союз архитекторов Республики Башкортостан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Сроки проведения: </w:t>
      </w: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 30 апреля по 24 августа 2019 г.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1.2. Тип конкурса: Открытый одноэтапный творческий архитектурный конкурс.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1.3. К участию приглашаются дипломированные архитекторы и градостроители (стаж работы по специальности не менее 3 лет) и авторские коллективы (архитекторы, градостроители, реставраторы, дизайнеры архитектурной среды), согласные с программой и условиями конкурса и зарегистрировавшиеся в качестве участников конкурса и оплатившие регистрационный взнос.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1.4. Регистрация: Участники конкурса должны заполнить заявку на участие в конкурсе пройдя по ссылке </w:t>
      </w:r>
      <w:hyperlink r:id="rId6" w:history="1">
        <w:r w:rsidRPr="00F755E0">
          <w:rPr>
            <w:rFonts w:ascii="Times New Roman" w:eastAsia="Times New Roman" w:hAnsi="Times New Roman" w:cs="Times New Roman"/>
            <w:color w:val="27A3D4"/>
            <w:sz w:val="24"/>
            <w:szCs w:val="24"/>
            <w:u w:val="single"/>
            <w:lang w:eastAsia="ru-RU"/>
          </w:rPr>
          <w:t>https://docs.google.com/forms/d/1ORreBjeFDo1F2Dne58y3bbP5YNGFWQZOCdMp1Xd3ORg/edit</w:t>
        </w:r>
      </w:hyperlink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1.5. Конкурсная документация размещена на сайте Организатора с 30 апреля 2019 г.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1.6. Участники конкурса должны разработать и представить Организатору до 19.00 </w:t>
      </w:r>
      <w:proofErr w:type="spell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мск</w:t>
      </w:r>
      <w:proofErr w:type="spell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05 августа 2019 г. конкурсные проекты в объеме и формате, указанном в Конкурсной документации.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1.7. Участник может направить Организатору вопросы по конкурсной документации и иные вопросы, связанные с проведением Конкурса. Указанные вопросы направляются Участниками до времени завершения Конкурса на электронную почту Организатора: </w:t>
      </w:r>
      <w:hyperlink r:id="rId7" w:history="1">
        <w:r w:rsidRPr="00F755E0">
          <w:rPr>
            <w:rFonts w:ascii="Times New Roman" w:eastAsia="Times New Roman" w:hAnsi="Times New Roman" w:cs="Times New Roman"/>
            <w:color w:val="27A3D4"/>
            <w:sz w:val="24"/>
            <w:szCs w:val="24"/>
            <w:u w:val="single"/>
            <w:lang w:eastAsia="ru-RU"/>
          </w:rPr>
          <w:t>eko.bereg@bk.ru</w:t>
        </w:r>
      </w:hyperlink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1.8. Участникам конкурса при проектировании необходимо учитывать основные положения Конкурсной документации, требования Градостроительного Кодекса РФ и действующих в Уфе нормативных документов.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Цель конкурса: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Целью конкурса - используя равноправное творческое состязание, получить концептуальные градостроительные предложения эко-регенерации реки Сутолоки, включение ее в рекреационную прогулочную зону – парк </w:t>
      </w:r>
      <w:proofErr w:type="spell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Ватан</w:t>
      </w:r>
      <w:proofErr w:type="spell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ул. Набережная – Монумент Дружбы народов.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Создать комфортные и эстетически привлекательные городские пространства с наполнением малыми архитектурными формами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Структурировать застройки кварталов на территории проектирования, сформировать общий гармоничный силуэта при въезде в город.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Сформировать городские пристани для катеров, теплоходов и малых речных судов.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Организовать пешеходные пути с учетом ранее запроектированной развязки, ул. Набережная, ул. Пугачева.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Проект должен максимально полно раскрывать авторский замысел и донести главную идею.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Программа конкурса: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Конкурс проводится по единым правилам и условиям, которые разрабатываются организатором конкурса. Правила и условия являются обязательными для всех участников конкурса.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Условия конкурса: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Проект должен максимально полно раскрывать авторский замысел и донести главную идею.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Конкурсные проекты выполняются в компьютерной графике (растровый файл JPG или TIFF, 150 </w:t>
      </w:r>
      <w:proofErr w:type="spell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dpi</w:t>
      </w:r>
      <w:proofErr w:type="spell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без сжатия) и передаются по электронной почте полностью скомпонованными и подготовленными для вывода на планшет размером 140 см (высота), 90 см (ширина). Все тексты должны быть переведены в кривые. Количество планшетов для одной работы (проекта) 2 шт.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Графическая и текстовая информация размещается на планшетах в соответствии со схемой компоновки (см. исходные данные).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Правила подачи конкурсных материалов и их оценки: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целях анонимности проекты представляются под девизами (шестизначный набор цифр) высотой 10 </w:t>
      </w:r>
      <w:proofErr w:type="gram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мм.,</w:t>
      </w:r>
      <w:proofErr w:type="gram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размещенными в правой верхней части всех материалов, представляемых на конкурс (см. шаблон планшета).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К материалам конкурса должны прилагаться: девизный конверт, содержащий информацию об авторе или авторском коллективе (ФИО авторов, тел. номер, адрес, паспортные данные, процентное распределение премии между членами авторского коллектива), пояснительная </w:t>
      </w: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записка (отдельным файлом) подписанная девизным номером (совпадающим с девизным номером конкурсной работы).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Организаторы конкурса не допускают работы к конкурсу в случае:</w:t>
      </w:r>
    </w:p>
    <w:p w:rsidR="00F755E0" w:rsidRPr="00F755E0" w:rsidRDefault="00F755E0" w:rsidP="00F755E0">
      <w:pPr>
        <w:numPr>
          <w:ilvl w:val="0"/>
          <w:numId w:val="1"/>
        </w:numPr>
        <w:spacing w:before="225" w:after="225" w:line="285" w:lineRule="atLeast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несоответствия требованиям программы и условиям конкурса.</w:t>
      </w:r>
    </w:p>
    <w:p w:rsidR="00F755E0" w:rsidRPr="00F755E0" w:rsidRDefault="00F755E0" w:rsidP="00F755E0">
      <w:pPr>
        <w:numPr>
          <w:ilvl w:val="0"/>
          <w:numId w:val="1"/>
        </w:numPr>
        <w:spacing w:before="225" w:after="225" w:line="285" w:lineRule="atLeast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Преднамеренного нарушения анонимности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Условиями конкурса предусмотрены следующие денежные премии:</w:t>
      </w:r>
    </w:p>
    <w:p w:rsidR="00F755E0" w:rsidRPr="00F755E0" w:rsidRDefault="00F755E0" w:rsidP="00F755E0">
      <w:pPr>
        <w:numPr>
          <w:ilvl w:val="0"/>
          <w:numId w:val="2"/>
        </w:numPr>
        <w:spacing w:before="225" w:after="225" w:line="285" w:lineRule="atLeast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первая премия – 500 000 рублей</w:t>
      </w:r>
    </w:p>
    <w:p w:rsidR="00F755E0" w:rsidRPr="00F755E0" w:rsidRDefault="00F755E0" w:rsidP="00F755E0">
      <w:pPr>
        <w:numPr>
          <w:ilvl w:val="0"/>
          <w:numId w:val="2"/>
        </w:numPr>
        <w:spacing w:before="225" w:after="225" w:line="285" w:lineRule="atLeast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вторая премия – 300 000 рублей</w:t>
      </w:r>
    </w:p>
    <w:p w:rsidR="00F755E0" w:rsidRPr="00F755E0" w:rsidRDefault="00F755E0" w:rsidP="00F755E0">
      <w:pPr>
        <w:numPr>
          <w:ilvl w:val="0"/>
          <w:numId w:val="2"/>
        </w:numPr>
        <w:spacing w:before="225" w:after="225" w:line="285" w:lineRule="atLeast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две третьи премии – 100 000 рублей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Жюри конкурса имеет право присудить специальные награды за отдельные достижения и удачные решения.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Проекты, получившие премии и специальные награды, будут опубликованы в СМИ, выступающих в роли информационных партнеров конкурса.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О работе жюри конкурса: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Для подведения итогов конкурса создается жюри из ведущих российских. Состав жюри будет опубликован 01 июля 2019 г.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Председатель жюри выбирается на первом заседании жюри простым большинством голосов.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Члены жюри не имеют права принимать участия в Конкурсе. Принятые решения жюри оформляются протоколом с подписями всех членов жюри, участвовавших в заседании.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разделении голосов поровну, голос Председателя считается решающим.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Регистрация: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Регистрация участников проводится до 10 июля 2019 года путем заполнения регистрационной формы и подтверждения оплаты по ссылке: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hyperlink r:id="rId8" w:history="1">
        <w:r w:rsidRPr="00F755E0">
          <w:rPr>
            <w:rFonts w:ascii="Times New Roman" w:eastAsia="Times New Roman" w:hAnsi="Times New Roman" w:cs="Times New Roman"/>
            <w:color w:val="27A3D4"/>
            <w:sz w:val="24"/>
            <w:szCs w:val="24"/>
            <w:u w:val="single"/>
            <w:lang w:eastAsia="ru-RU"/>
          </w:rPr>
          <w:t>https://docs.google.com/forms/d/1ORreBjeFDo1F2Dne58y3bbP5YNGFWQZOCdMp1Xd3ORg/edit</w:t>
        </w:r>
      </w:hyperlink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Организаторы конкурса берут на себя изготовление (вывод) выставочных материалов (планшетов) конкурсных проектов.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hyperlink r:id="rId9" w:history="1">
        <w:r w:rsidRPr="00F755E0">
          <w:rPr>
            <w:rFonts w:ascii="Times New Roman" w:eastAsia="Times New Roman" w:hAnsi="Times New Roman" w:cs="Times New Roman"/>
            <w:color w:val="27A3D4"/>
            <w:sz w:val="24"/>
            <w:szCs w:val="24"/>
            <w:u w:val="single"/>
            <w:lang w:eastAsia="ru-RU"/>
          </w:rPr>
          <w:t>Скачать планшет</w:t>
        </w:r>
      </w:hyperlink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Файлы с работами и пояснительной запиской должны быть присланы через любой </w:t>
      </w:r>
      <w:proofErr w:type="spell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файлообменник</w:t>
      </w:r>
      <w:proofErr w:type="spell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 подписаны девизным номером.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Для принятия участия в Конкурсе необходимо оформить заявку на участие и оплатить регистрационный взнос. Физические лица могут оплатить регистрационный взнос при помощи банковской квитанции (см. Приложение №2). </w:t>
      </w:r>
      <w:hyperlink r:id="rId10" w:history="1">
        <w:r w:rsidRPr="00F755E0">
          <w:rPr>
            <w:rFonts w:ascii="Times New Roman" w:eastAsia="Times New Roman" w:hAnsi="Times New Roman" w:cs="Times New Roman"/>
            <w:color w:val="27A3D4"/>
            <w:sz w:val="24"/>
            <w:szCs w:val="24"/>
            <w:u w:val="single"/>
            <w:lang w:eastAsia="ru-RU"/>
          </w:rPr>
          <w:t>Скачать квитанцию</w:t>
        </w:r>
      </w:hyperlink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Юридическим лицам необходимо отправить запрос на оформление счета на оплату регистрационного взноса на адрес: </w:t>
      </w:r>
      <w:hyperlink r:id="rId11" w:history="1">
        <w:r w:rsidRPr="00F755E0">
          <w:rPr>
            <w:rFonts w:ascii="Times New Roman" w:eastAsia="Times New Roman" w:hAnsi="Times New Roman" w:cs="Times New Roman"/>
            <w:color w:val="27A3D4"/>
            <w:sz w:val="24"/>
            <w:szCs w:val="24"/>
            <w:u w:val="single"/>
            <w:lang w:eastAsia="ru-RU"/>
          </w:rPr>
          <w:t>eko.bereg@bk.ru</w:t>
        </w:r>
      </w:hyperlink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Регистрационный взнос участника конкурса составляет: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- 5 000 (пять тысяч) руб. за одну конкурсную работу (2 планшета).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Регистрационный взнос не возвращается.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Сроки представления конкурсных проектов: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Опубликование программы и условий конкурса: 30 апреля 2019 года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Регистрация участников конкурса: до 10 июля 2019 года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Вопросы участников: до 25 июля 2019 года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Ответы участникам: до 30 июля 2019 года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Подача конкурсных проектов: до 05 августа 2019 года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Открытие выставки конкурсных проектов: 22 августа 2019 года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Работа жюри: 22 августа 2019 года.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Подведение итогов и объявление результатов конкурса: 24 августа 2019 года.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ТЕХНИЧЕСКОЕ ЗАДАНИЕ.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Для рассмотрения предлагается территория дельты реки Сутолока, в юго-западной части г. Уфы в районе Монумента Дружбы в месте впадения р. Сутолока в р. Белую. Из данной точки расходятся веером 7 улиц: Набережная, </w:t>
      </w:r>
      <w:proofErr w:type="spell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Заки</w:t>
      </w:r>
      <w:proofErr w:type="spell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proofErr w:type="spell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Валиди</w:t>
      </w:r>
      <w:proofErr w:type="spell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Октябрьской революции, Посадская, вдоль неё течёт Сутолока, Менделеева, Сочинская, Пугачева. Сам Монумент располагается на возвышении относительно пересечения улиц, где на данный момент запроектирована развязка в одном уровне.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Историческая справка: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1574 году на данном участке, на холме, в устье реки Сутолоки отрядом стрельцов во главе с воеводой Иваном Нагим был возведён Уфимский острог, с которого начинается официальная история города.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При основании крепости «Кремль» Сутолока находилась на рубеже, защищая укрепление с востока. Кремль занимал южную оконечность высокого мыса на правом берегу Сутолоки, при впадении её в Белую реку. Южная башня Кремля носила название — </w:t>
      </w:r>
      <w:proofErr w:type="spell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Сутолоцкая</w:t>
      </w:r>
      <w:proofErr w:type="spell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она же Никольская.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Затем, при расширении города, Сутолока оказалась в черте города, про который П.И. </w:t>
      </w:r>
      <w:proofErr w:type="spell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Рычков</w:t>
      </w:r>
      <w:proofErr w:type="spell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писал, что он расположен «между восьми великих и глубоких буераков, из которых в одном, кой идёт поперёк города, течёт речка, именуемая Сутолокой». На левом берегу Сутолоки стали ставиться посады служилых людей. В былые времена по реке сплавляли лес, на ней стояла водяная мельница, ловилась рыба хариус (рыба-индикатор чистоты </w:t>
      </w: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водоемов), а в самом устье торговцы держали садки с рыбой (осетры, стерляди, лещи, судаки, белуга).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Существующее положение: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Территория проектирования является «визитной карточкой» города, на нее открывается вид при въезде в город через автомобильный Бельский мост. На данный момент застройка на территории кварталов, прилегающих к вышеуказанным улицам, носит хаотичный характер. Силуэт города при въезде не сформирован. Белая является привлекательной зоной для горожан, но она отрезана от кварталов городскими магистралями. Река Сутолока и ее прибрежная зона в настоящее время находятся в плачевном состоянии. Ширина Сутолоки — в среднем 1-2 м, глубина — 20-40 см, длина — около 6 км. Исток менялся в зависимости от застройки города. Сейчас река частично протекает по </w:t>
      </w:r>
      <w:proofErr w:type="spell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Сутолоцкому</w:t>
      </w:r>
      <w:proofErr w:type="spell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оврагу вдоль магистрали городского значения непрерывного движения проспект Салавата </w:t>
      </w:r>
      <w:proofErr w:type="spell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Юлаева</w:t>
      </w:r>
      <w:proofErr w:type="spell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 В 2007 году несколько участков южной части реки были перемещены в подземные коллекторы для размещения магистрали и застройки. Сутолока отличается особой загрязнённостью. Экологическое состояние её критическое. В реку стекают ливневые воды с окружающих улиц и дорог, бытовые стоки предприятий. Река сильно загрязняет воды Белой.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Цели и задачи проекта: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1. Эко-регенерация реки Сутолоки, включение ее в рекреационную прогулочную зону – парк </w:t>
      </w:r>
      <w:proofErr w:type="spell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Ватан</w:t>
      </w:r>
      <w:proofErr w:type="spell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ул. Набережная – Монумент Дружбы народов.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Создание комфортных и эстетически привлекательных городских пространств с наполнением малыми архитектурными формами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3. Структурирование и завершение застройки прилегающих кварталов на территории проектирования, формирование общего гармоничного силуэта при въезде в город.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4. Формирование городской пристани для катеров, теплоходов и малых речных судов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5. Организация пешеходных путей с учетом ранее запроектированной развязки, ул. Набережная, ул. Пугачева.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Для реализации указанных целей и задач необходимо обеспечить экологическую чистоту берегов и вод реки Сутолоки путем очистки территории и опережающего строительства очистных сооружений (включенных в общую композицию), не допускающих попадание не очищенных ливневых стоков в р. Сутолоку.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Проект должен включать: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1.1 Текстовая часть проекта планировки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Текстовая часть должна содержать следующие материалы: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описание основных идей проектов и проектных решений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 элементы благоустройства для прогулочной зоны – парк </w:t>
      </w:r>
      <w:proofErr w:type="spell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Ватан</w:t>
      </w:r>
      <w:proofErr w:type="spell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ул. Набережная – Монумент Дружбы народов.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расчёты стояночных мест для общественной и жилой застройки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- расчёт объектов социальной инфраструктуры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1.2 Графическая часть проекта планировки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1) Ситуационная схема (М 1:2000)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2) Схема планировочной организации территории (М 1:2000)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схеме отображаются: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проектируемые красные линии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улично-дорожная сеть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проектируемое благоустройство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сохраняемые по проекту здания и сооружения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проектируемые здания и сооружения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иная информация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3) Схема озеленения (М1:2000)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4) Схема организации улично-дорожной сети и схема движения транспорта и пешеходов (М 1:2000)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схеме отображаются: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структура улиц в соответствии с классификацией по НГП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линии движения транспорта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линии движения пешеходов и велосипедистов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линии движения общественного транспорта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остановочные пункты общественного транспорта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парковки и паркинги с указанием количества стояночных мест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иная информация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5) Схема обслуживания населения (М 1:2000)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схеме отображается размещение объектов социальной инфраструктуры в структуре застройки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6) План красных линий (М 1:2000)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схеме отображаются: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существующие красные линии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проектируемые красные линии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7) Схема компоновки проектных материалов см. в исходных данных.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Поперечные профили улиц (М 1:200)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8) Сечения территории и развёртки по улицам М1:1000(М 1:2000). Все текстовые материалы подаются согласно Схемы компоновки на русском или английском языке.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1.3 Разработка трёхмерной модели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 модели показываются: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1) Рельеф территории на основе предоставленной топографической подосновы.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2) Существующая сохраняемая и проектируемая застройка (объёмы с поэтажной разбивкой)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3) Улично-дорожная сеть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4) Благоустройство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1.4 Визуализация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Визуализация выполняется на основе разработанной трехмерной модели. В состав проекта должны быть включены 3-4 визуализации. Обязательно должны быть выполнены визуализации с рекомендуемых видовых точек (раздел рекомендации).</w:t>
      </w:r>
    </w:p>
    <w:p w:rsidR="00F755E0" w:rsidRPr="00F755E0" w:rsidRDefault="00F755E0" w:rsidP="00F755E0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ХАРАКТЕРИСТИКИ ТЕРРИТОРИИ ПРОЕКТИРОВАНИЯ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2.1 Общие характеристики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Площадь территории проектирования - 45,00 га.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Площадь территории рассмотрения – 189,62 га.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Проектируемая территория располагается Кировском районе городского округа город Уфа Республики Башкортостан.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Территория относится к планировочным зонам: Центр, Старая Уфа.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2.2 Инженерно-геологические условия.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Территория, в соответствии с приложением “Б” СП 11-105-97, ч. I, относится ко II (средней) и к III (сложной) категориям сложности инженерно-геологических условий.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Геоморфология: Территория осложнена карстово-суффозионными воронками и провалами, коренной склон осложнен эрозионно-карстовыми оврагами с трещинами бортового отпора. В настоящее время естественный процесс </w:t>
      </w:r>
      <w:proofErr w:type="spell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рельефообразования</w:t>
      </w:r>
      <w:proofErr w:type="spell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нарушен деятельностью человека (засыпка оврагов и карстовых воронок, проходка канав, траншей и пр.). Кроме того, наблюдаются отрицательные случаи техногенного воздействия, которые приводят к активизации суффозионно-карстовых и оползневых процессов.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Геологический разрез: четвертичные и пермские отложения.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Гидрогеология: Территория поймы периодически затапливается паводковыми водами; максимальный уровень подземных вод на участке определяется горизонтом высоких вод </w:t>
      </w: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1% обеспеченности р. Белой и ориентировочно соответствует абсолютным отметкам (БС): от 92,39 м – у устья р. Сутолоки до 92,02 м – у ж/д моста). Максимальный уровень подземных вод на остальной территории прогнозируется на глубинах от &lt;0,5 м до 7,0 м и глубже.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Опасные физико-геологические процессы: Территория находится в районе развития следующих опасных физико-геологических процессов: эрозионных, оползневых, карстовых, суффозионных, а также процессов выветривания и </w:t>
      </w:r>
      <w:proofErr w:type="spell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оврагообразования</w:t>
      </w:r>
      <w:proofErr w:type="spell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соответствии с классификацией СП 11-105-97, ч. II, ориентировочно территория располагается в пределах территорий V (относительно устойчивой), IV (несколько пониженной устойчивости), III (недостаточно устойчивой) и II (неустойчивой) категорий устойчивости относительно интенсивности образования карстовых провалов.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Проектирование и строительство в этих условиях следует вести в соответствии с рекомендациями ТСН 302-50-95. РБ. В соответствии с СНиП 11-02-96, необходима оценка инженерно-геологических условий территории, сложившихся в настоящее время.</w:t>
      </w:r>
    </w:p>
    <w:p w:rsidR="00F755E0" w:rsidRPr="00F755E0" w:rsidRDefault="00F755E0" w:rsidP="00F755E0">
      <w:pPr>
        <w:spacing w:before="225" w:after="225" w:line="285" w:lineRule="atLeast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2.3 Схема расположения территории проектирования в структуре города.   </w:t>
      </w:r>
    </w:p>
    <w:p w:rsidR="00F755E0" w:rsidRDefault="00F755E0" w:rsidP="00F755E0">
      <w:pPr>
        <w:spacing w:after="0" w:line="285" w:lineRule="atLeas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hyperlink r:id="rId12" w:history="1">
        <w:r w:rsidRPr="00F755E0">
          <w:rPr>
            <w:rFonts w:ascii="Times New Roman" w:eastAsia="Times New Roman" w:hAnsi="Times New Roman" w:cs="Times New Roman"/>
            <w:b/>
            <w:bCs/>
            <w:color w:val="27A3D4"/>
            <w:sz w:val="24"/>
            <w:szCs w:val="24"/>
            <w:u w:val="single"/>
            <w:lang w:eastAsia="ru-RU"/>
          </w:rPr>
          <w:t>Скачать м</w:t>
        </w:r>
      </w:hyperlink>
      <w:hyperlink r:id="rId13" w:history="1">
        <w:r w:rsidRPr="00F755E0">
          <w:rPr>
            <w:rFonts w:ascii="Times New Roman" w:eastAsia="Times New Roman" w:hAnsi="Times New Roman" w:cs="Times New Roman"/>
            <w:b/>
            <w:bCs/>
            <w:color w:val="27A3D4"/>
            <w:sz w:val="24"/>
            <w:szCs w:val="24"/>
            <w:u w:val="single"/>
            <w:lang w:eastAsia="ru-RU"/>
          </w:rPr>
          <w:t xml:space="preserve">атериалы </w:t>
        </w:r>
        <w:r w:rsidRPr="00F755E0">
          <w:rPr>
            <w:rFonts w:ascii="Times New Roman" w:eastAsia="Times New Roman" w:hAnsi="Times New Roman" w:cs="Times New Roman"/>
            <w:b/>
            <w:bCs/>
            <w:color w:val="27A3D4"/>
            <w:sz w:val="24"/>
            <w:szCs w:val="24"/>
            <w:u w:val="single"/>
            <w:lang w:eastAsia="ru-RU"/>
          </w:rPr>
          <w:t>к</w:t>
        </w:r>
        <w:r w:rsidRPr="00F755E0">
          <w:rPr>
            <w:rFonts w:ascii="Times New Roman" w:eastAsia="Times New Roman" w:hAnsi="Times New Roman" w:cs="Times New Roman"/>
            <w:b/>
            <w:bCs/>
            <w:color w:val="27A3D4"/>
            <w:sz w:val="24"/>
            <w:szCs w:val="24"/>
            <w:u w:val="single"/>
            <w:lang w:eastAsia="ru-RU"/>
          </w:rPr>
          <w:t>онкурса</w:t>
        </w:r>
      </w:hyperlink>
    </w:p>
    <w:p w:rsidR="00F755E0" w:rsidRDefault="00F755E0" w:rsidP="00F755E0">
      <w:pPr>
        <w:spacing w:after="0" w:line="285" w:lineRule="atLeas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755E0" w:rsidRPr="00F755E0" w:rsidRDefault="00F755E0" w:rsidP="00F755E0">
      <w:pPr>
        <w:spacing w:after="0" w:line="285" w:lineRule="atLeas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F755E0" w:rsidRPr="00F755E0" w:rsidRDefault="00F755E0" w:rsidP="00F755E0">
      <w:pPr>
        <w:spacing w:after="0" w:line="285" w:lineRule="atLeas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Контактная информация</w:t>
      </w:r>
    </w:p>
    <w:p w:rsidR="00F755E0" w:rsidRPr="00F755E0" w:rsidRDefault="00F755E0" w:rsidP="00F755E0">
      <w:pPr>
        <w:spacing w:after="0" w:line="285" w:lineRule="atLeas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Координаторы конкурса</w:t>
      </w: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 xml:space="preserve">Елена </w:t>
      </w:r>
      <w:proofErr w:type="spell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Жильникова</w:t>
      </w:r>
      <w:proofErr w:type="spell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Тел.: +7 (495) 697-77-84</w:t>
      </w:r>
    </w:p>
    <w:p w:rsidR="00F755E0" w:rsidRPr="00F755E0" w:rsidRDefault="00F755E0" w:rsidP="00F755E0">
      <w:pPr>
        <w:spacing w:after="0" w:line="285" w:lineRule="atLeas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Координаторы конкурса</w:t>
      </w: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Алла Захарян</w:t>
      </w: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  <w:t>Тел.: +7 (25) 707-04-87</w:t>
      </w:r>
    </w:p>
    <w:p w:rsidR="00F755E0" w:rsidRPr="00F755E0" w:rsidRDefault="00F755E0" w:rsidP="00F755E0">
      <w:pPr>
        <w:spacing w:after="0" w:line="285" w:lineRule="atLeas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E-</w:t>
      </w:r>
      <w:proofErr w:type="spellStart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mail</w:t>
      </w:r>
      <w:proofErr w:type="spellEnd"/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 </w:t>
      </w:r>
      <w:hyperlink r:id="rId14" w:history="1">
        <w:r w:rsidRPr="00F755E0">
          <w:rPr>
            <w:rFonts w:ascii="Times New Roman" w:eastAsia="Times New Roman" w:hAnsi="Times New Roman" w:cs="Times New Roman"/>
            <w:color w:val="27A3D4"/>
            <w:sz w:val="24"/>
            <w:szCs w:val="24"/>
            <w:u w:val="single"/>
            <w:lang w:eastAsia="ru-RU"/>
          </w:rPr>
          <w:t>eko.bereg@bk.ru</w:t>
        </w:r>
      </w:hyperlink>
      <w:r w:rsidRPr="00F755E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br/>
      </w:r>
      <w:hyperlink r:id="rId15" w:history="1">
        <w:r w:rsidRPr="00F755E0">
          <w:rPr>
            <w:rFonts w:ascii="Times New Roman" w:eastAsia="Times New Roman" w:hAnsi="Times New Roman" w:cs="Times New Roman"/>
            <w:color w:val="27A3D4"/>
            <w:sz w:val="24"/>
            <w:szCs w:val="24"/>
            <w:u w:val="single"/>
            <w:lang w:eastAsia="ru-RU"/>
          </w:rPr>
          <w:t>http://ecobereg.ru</w:t>
        </w:r>
      </w:hyperlink>
    </w:p>
    <w:p w:rsidR="009227C2" w:rsidRDefault="009227C2"/>
    <w:sectPr w:rsidR="00922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E6CD1"/>
    <w:multiLevelType w:val="multilevel"/>
    <w:tmpl w:val="AD08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279A5"/>
    <w:multiLevelType w:val="multilevel"/>
    <w:tmpl w:val="FD4A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E0"/>
    <w:rsid w:val="009227C2"/>
    <w:rsid w:val="00F7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66F84-B44E-4BDF-A957-0F063740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5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ORreBjeFDo1F2Dne58y3bbP5YNGFWQZOCdMp1Xd3ORg/edit" TargetMode="External"/><Relationship Id="rId13" Type="http://schemas.openxmlformats.org/officeDocument/2006/relationships/hyperlink" Target="https://drive.google.com/drive/folders/18VSuGP8_d42h62bxAdWeTaPmAhjz5Tf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.bereg@bk.ru" TargetMode="External"/><Relationship Id="rId12" Type="http://schemas.openxmlformats.org/officeDocument/2006/relationships/hyperlink" Target="https://drive.google.com/drive/folders/18VSuGP8_d42h62bxAdWeTaPmAhjz5Tf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ORreBjeFDo1F2Dne58y3bbP5YNGFWQZOCdMp1Xd3ORg/edit" TargetMode="External"/><Relationship Id="rId11" Type="http://schemas.openxmlformats.org/officeDocument/2006/relationships/hyperlink" Target="mailto:eko.bereg@bk.ru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ecobereg.ru/" TargetMode="External"/><Relationship Id="rId10" Type="http://schemas.openxmlformats.org/officeDocument/2006/relationships/hyperlink" Target="http://ecobereg.ru/%D0%9A%D0%B2%D0%B8%D1%82%D0%B0%D0%BD%D1%86%D0%B8%D1%8F_%202019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bereg.ru/upload/900x1400mm_EcoBereg19_rus.pdf" TargetMode="External"/><Relationship Id="rId14" Type="http://schemas.openxmlformats.org/officeDocument/2006/relationships/hyperlink" Target="mailto:moskvar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2019-06-20T10:00:00Z</dcterms:created>
  <dcterms:modified xsi:type="dcterms:W3CDTF">2019-06-20T10:06:00Z</dcterms:modified>
</cp:coreProperties>
</file>